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74415B16"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DA379A">
        <w:rPr>
          <w:rFonts w:eastAsia="Calibri" w:cstheme="minorHAnsi"/>
          <w:b/>
          <w:sz w:val="20"/>
          <w:szCs w:val="20"/>
        </w:rPr>
        <w:t>49-52</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4F13ED0F"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DA379A">
        <w:rPr>
          <w:rFonts w:cstheme="minorHAnsi"/>
          <w:sz w:val="20"/>
          <w:szCs w:val="20"/>
        </w:rPr>
        <w:t>08/12</w:t>
      </w:r>
      <w:r w:rsidR="00CA2D9F" w:rsidRPr="00CA2D9F">
        <w:rPr>
          <w:rFonts w:cstheme="minorHAnsi"/>
          <w:sz w:val="20"/>
          <w:szCs w:val="20"/>
        </w:rPr>
        <w:t>/2025</w:t>
      </w:r>
      <w:r w:rsidR="00CA2D9F">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CA2D9F" w:rsidRPr="00CA2D9F">
        <w:rPr>
          <w:rFonts w:cstheme="minorHAnsi"/>
          <w:sz w:val="20"/>
          <w:szCs w:val="20"/>
        </w:rPr>
        <w:t>14/12/2025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DA379A">
        <w:rPr>
          <w:rFonts w:cstheme="minorHAnsi"/>
          <w:sz w:val="20"/>
          <w:szCs w:val="20"/>
        </w:rPr>
        <w:t>11/01/2026</w:t>
      </w:r>
      <w:r w:rsidR="00CA2D9F">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CA2D9F">
        <w:rPr>
          <w:rFonts w:eastAsia="Calibri" w:cstheme="minorHAnsi"/>
          <w:sz w:val="20"/>
          <w:szCs w:val="20"/>
        </w:rPr>
        <w:t>4</w:t>
      </w:r>
      <w:r w:rsidR="00DA379A">
        <w:rPr>
          <w:rFonts w:eastAsia="Calibri" w:cstheme="minorHAnsi"/>
          <w:sz w:val="20"/>
          <w:szCs w:val="20"/>
        </w:rPr>
        <w:t>9</w:t>
      </w:r>
      <w:r w:rsidR="00CA2D9F">
        <w:rPr>
          <w:rFonts w:eastAsia="Calibri" w:cstheme="minorHAnsi"/>
          <w:sz w:val="20"/>
          <w:szCs w:val="20"/>
        </w:rPr>
        <w:t>-</w:t>
      </w:r>
      <w:r w:rsidR="00DA379A">
        <w:rPr>
          <w:rFonts w:eastAsia="Calibri" w:cstheme="minorHAnsi"/>
          <w:sz w:val="20"/>
          <w:szCs w:val="20"/>
        </w:rPr>
        <w:t>52</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CA2D9F" w:rsidRPr="00F914AB" w14:paraId="59DE2F0F" w14:textId="77777777" w:rsidTr="000962FC">
        <w:trPr>
          <w:trHeight w:val="274"/>
        </w:trPr>
        <w:tc>
          <w:tcPr>
            <w:tcW w:w="2159" w:type="dxa"/>
            <w:vAlign w:val="center"/>
          </w:tcPr>
          <w:p w14:paraId="69DD7FEB" w14:textId="76811AB8" w:rsidR="00CA2D9F" w:rsidRPr="00F914AB" w:rsidRDefault="00DA379A" w:rsidP="00CA2D9F">
            <w:pPr>
              <w:spacing w:after="0" w:line="240" w:lineRule="auto"/>
              <w:jc w:val="center"/>
              <w:rPr>
                <w:rFonts w:ascii="Calibri" w:hAnsi="Calibri" w:cs="Calibri"/>
                <w:sz w:val="20"/>
                <w:szCs w:val="20"/>
              </w:rPr>
            </w:pPr>
            <w:r>
              <w:rPr>
                <w:rFonts w:ascii="Calibri" w:hAnsi="Calibri" w:cs="Calibri"/>
                <w:b/>
                <w:bCs/>
                <w:color w:val="000000"/>
                <w:sz w:val="20"/>
                <w:szCs w:val="20"/>
              </w:rPr>
              <w:t>49</w:t>
            </w:r>
          </w:p>
        </w:tc>
        <w:tc>
          <w:tcPr>
            <w:tcW w:w="3118" w:type="dxa"/>
          </w:tcPr>
          <w:p w14:paraId="71813DF3" w14:textId="7498D64F" w:rsidR="00CA2D9F" w:rsidRPr="00CA2D9F" w:rsidRDefault="00DA379A" w:rsidP="00CA2D9F">
            <w:pPr>
              <w:spacing w:after="0" w:line="240" w:lineRule="auto"/>
              <w:jc w:val="center"/>
              <w:rPr>
                <w:rFonts w:cstheme="minorHAnsi"/>
              </w:rPr>
            </w:pPr>
            <w:r>
              <w:rPr>
                <w:rFonts w:cstheme="minorHAnsi"/>
              </w:rPr>
              <w:t>08/12</w:t>
            </w:r>
            <w:r w:rsidR="00CA2D9F" w:rsidRPr="00CA2D9F">
              <w:rPr>
                <w:rFonts w:cstheme="minorHAnsi"/>
              </w:rPr>
              <w:t>/2025</w:t>
            </w:r>
          </w:p>
        </w:tc>
        <w:tc>
          <w:tcPr>
            <w:tcW w:w="3119" w:type="dxa"/>
          </w:tcPr>
          <w:p w14:paraId="06327C7B" w14:textId="092B73BD" w:rsidR="00CA2D9F" w:rsidRPr="00CA2D9F" w:rsidRDefault="00DA379A" w:rsidP="00CA2D9F">
            <w:pPr>
              <w:spacing w:after="0" w:line="240" w:lineRule="auto"/>
              <w:jc w:val="center"/>
              <w:rPr>
                <w:rFonts w:cstheme="minorHAnsi"/>
              </w:rPr>
            </w:pPr>
            <w:r>
              <w:rPr>
                <w:rFonts w:cstheme="minorHAnsi"/>
              </w:rPr>
              <w:t>21/12</w:t>
            </w:r>
            <w:r w:rsidR="00CA2D9F" w:rsidRPr="00CA2D9F">
              <w:rPr>
                <w:rFonts w:cstheme="minorHAnsi"/>
              </w:rPr>
              <w:t>/2025</w:t>
            </w:r>
          </w:p>
        </w:tc>
      </w:tr>
      <w:tr w:rsidR="00CA2D9F" w:rsidRPr="00F914AB" w14:paraId="5C3F51D0" w14:textId="77777777" w:rsidTr="000962FC">
        <w:trPr>
          <w:trHeight w:val="274"/>
        </w:trPr>
        <w:tc>
          <w:tcPr>
            <w:tcW w:w="2159" w:type="dxa"/>
            <w:vAlign w:val="center"/>
            <w:hideMark/>
          </w:tcPr>
          <w:p w14:paraId="072337B3" w14:textId="71A9DE8C" w:rsidR="00CA2D9F" w:rsidRPr="00F914AB" w:rsidRDefault="00DA379A"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50</w:t>
            </w:r>
          </w:p>
        </w:tc>
        <w:tc>
          <w:tcPr>
            <w:tcW w:w="3118" w:type="dxa"/>
          </w:tcPr>
          <w:p w14:paraId="6D1C8745" w14:textId="46D58377" w:rsidR="00CA2D9F" w:rsidRPr="00CA2D9F" w:rsidRDefault="00DA379A" w:rsidP="00CA2D9F">
            <w:pPr>
              <w:spacing w:after="0" w:line="240" w:lineRule="auto"/>
              <w:jc w:val="center"/>
              <w:rPr>
                <w:rFonts w:cstheme="minorHAnsi"/>
                <w:lang w:eastAsia="en-AU"/>
              </w:rPr>
            </w:pPr>
            <w:r>
              <w:rPr>
                <w:rFonts w:cstheme="minorHAnsi"/>
              </w:rPr>
              <w:t>15/12</w:t>
            </w:r>
            <w:r w:rsidR="00CA2D9F" w:rsidRPr="00CA2D9F">
              <w:rPr>
                <w:rFonts w:cstheme="minorHAnsi"/>
              </w:rPr>
              <w:t>/2025</w:t>
            </w:r>
          </w:p>
        </w:tc>
        <w:tc>
          <w:tcPr>
            <w:tcW w:w="3119" w:type="dxa"/>
          </w:tcPr>
          <w:p w14:paraId="7A7E5993" w14:textId="24C10F51" w:rsidR="00CA2D9F" w:rsidRPr="00CA2D9F" w:rsidRDefault="00DA379A" w:rsidP="00CA2D9F">
            <w:pPr>
              <w:spacing w:after="0" w:line="240" w:lineRule="auto"/>
              <w:jc w:val="center"/>
              <w:rPr>
                <w:rFonts w:cstheme="minorHAnsi"/>
                <w:lang w:eastAsia="en-AU"/>
              </w:rPr>
            </w:pPr>
            <w:r>
              <w:rPr>
                <w:rFonts w:cstheme="minorHAnsi"/>
              </w:rPr>
              <w:t>28</w:t>
            </w:r>
            <w:r w:rsidR="00CA2D9F" w:rsidRPr="00CA2D9F">
              <w:rPr>
                <w:rFonts w:cstheme="minorHAnsi"/>
              </w:rPr>
              <w:t>/12/2025</w:t>
            </w:r>
          </w:p>
        </w:tc>
      </w:tr>
      <w:tr w:rsidR="00CA2D9F" w:rsidRPr="00F914AB" w14:paraId="2004714F" w14:textId="77777777" w:rsidTr="000962FC">
        <w:trPr>
          <w:trHeight w:val="274"/>
        </w:trPr>
        <w:tc>
          <w:tcPr>
            <w:tcW w:w="2159" w:type="dxa"/>
            <w:vAlign w:val="center"/>
            <w:hideMark/>
          </w:tcPr>
          <w:p w14:paraId="04328AAF" w14:textId="1B8EF82D" w:rsidR="00CA2D9F" w:rsidRPr="00F914AB" w:rsidRDefault="00DA379A"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51</w:t>
            </w:r>
          </w:p>
        </w:tc>
        <w:tc>
          <w:tcPr>
            <w:tcW w:w="3118" w:type="dxa"/>
          </w:tcPr>
          <w:p w14:paraId="21FF0131" w14:textId="78851E75" w:rsidR="00CA2D9F" w:rsidRPr="00CA2D9F" w:rsidRDefault="00DA379A" w:rsidP="00CA2D9F">
            <w:pPr>
              <w:spacing w:after="0" w:line="240" w:lineRule="auto"/>
              <w:jc w:val="center"/>
              <w:rPr>
                <w:rFonts w:cstheme="minorHAnsi"/>
                <w:lang w:eastAsia="en-AU"/>
              </w:rPr>
            </w:pPr>
            <w:r>
              <w:rPr>
                <w:rFonts w:cstheme="minorHAnsi"/>
              </w:rPr>
              <w:t>22/12</w:t>
            </w:r>
            <w:r w:rsidR="00CA2D9F" w:rsidRPr="00CA2D9F">
              <w:rPr>
                <w:rFonts w:cstheme="minorHAnsi"/>
              </w:rPr>
              <w:t>/2025</w:t>
            </w:r>
          </w:p>
        </w:tc>
        <w:tc>
          <w:tcPr>
            <w:tcW w:w="3119" w:type="dxa"/>
          </w:tcPr>
          <w:p w14:paraId="4EDD6F52" w14:textId="01148223" w:rsidR="00CA2D9F" w:rsidRPr="00CA2D9F" w:rsidRDefault="00DA379A" w:rsidP="00CA2D9F">
            <w:pPr>
              <w:spacing w:after="0" w:line="240" w:lineRule="auto"/>
              <w:jc w:val="center"/>
              <w:rPr>
                <w:rFonts w:cstheme="minorHAnsi"/>
                <w:lang w:eastAsia="en-AU"/>
              </w:rPr>
            </w:pPr>
            <w:r>
              <w:rPr>
                <w:rFonts w:cstheme="minorHAnsi"/>
              </w:rPr>
              <w:t>04/01/2026</w:t>
            </w:r>
          </w:p>
        </w:tc>
      </w:tr>
      <w:tr w:rsidR="00CA2D9F" w:rsidRPr="00F914AB" w14:paraId="75B833F0" w14:textId="77777777" w:rsidTr="000962FC">
        <w:trPr>
          <w:trHeight w:val="274"/>
        </w:trPr>
        <w:tc>
          <w:tcPr>
            <w:tcW w:w="2159" w:type="dxa"/>
            <w:vAlign w:val="center"/>
            <w:hideMark/>
          </w:tcPr>
          <w:p w14:paraId="657BB957" w14:textId="0FC462E7" w:rsidR="00CA2D9F" w:rsidRPr="00F914AB" w:rsidRDefault="00DA379A" w:rsidP="00CA2D9F">
            <w:pPr>
              <w:spacing w:after="0" w:line="240" w:lineRule="auto"/>
              <w:jc w:val="center"/>
              <w:rPr>
                <w:rFonts w:ascii="Calibri" w:hAnsi="Calibri" w:cs="Calibri"/>
                <w:sz w:val="20"/>
                <w:szCs w:val="20"/>
                <w:lang w:eastAsia="en-AU"/>
              </w:rPr>
            </w:pPr>
            <w:r>
              <w:rPr>
                <w:rFonts w:ascii="Calibri" w:hAnsi="Calibri" w:cs="Calibri"/>
                <w:b/>
                <w:bCs/>
                <w:color w:val="000000"/>
                <w:sz w:val="20"/>
                <w:szCs w:val="20"/>
              </w:rPr>
              <w:t>52</w:t>
            </w:r>
          </w:p>
        </w:tc>
        <w:tc>
          <w:tcPr>
            <w:tcW w:w="3118" w:type="dxa"/>
          </w:tcPr>
          <w:p w14:paraId="5682300C" w14:textId="27A3E798" w:rsidR="00CA2D9F" w:rsidRPr="00CA2D9F" w:rsidRDefault="00DA379A" w:rsidP="00CA2D9F">
            <w:pPr>
              <w:spacing w:after="0" w:line="240" w:lineRule="auto"/>
              <w:jc w:val="center"/>
              <w:rPr>
                <w:rFonts w:cstheme="minorHAnsi"/>
                <w:lang w:eastAsia="en-AU"/>
              </w:rPr>
            </w:pPr>
            <w:r>
              <w:rPr>
                <w:rFonts w:cstheme="minorHAnsi"/>
              </w:rPr>
              <w:t>29</w:t>
            </w:r>
            <w:r w:rsidR="00CA2D9F" w:rsidRPr="00CA2D9F">
              <w:rPr>
                <w:rFonts w:cstheme="minorHAnsi"/>
              </w:rPr>
              <w:t>/12/2025</w:t>
            </w:r>
          </w:p>
        </w:tc>
        <w:tc>
          <w:tcPr>
            <w:tcW w:w="3119" w:type="dxa"/>
          </w:tcPr>
          <w:p w14:paraId="5B7A1659" w14:textId="17FFB36C" w:rsidR="00CA2D9F" w:rsidRPr="00CA2D9F" w:rsidRDefault="00DA379A" w:rsidP="00CA2D9F">
            <w:pPr>
              <w:spacing w:after="0" w:line="240" w:lineRule="auto"/>
              <w:jc w:val="center"/>
              <w:rPr>
                <w:rFonts w:cstheme="minorHAnsi"/>
                <w:lang w:eastAsia="en-AU"/>
              </w:rPr>
            </w:pPr>
            <w:r>
              <w:rPr>
                <w:rFonts w:cstheme="minorHAnsi"/>
              </w:rPr>
              <w:t>11/01/2026</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8"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7CA48EF0"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DA379A">
        <w:rPr>
          <w:rFonts w:cstheme="minorHAnsi"/>
          <w:sz w:val="20"/>
          <w:szCs w:val="20"/>
        </w:rPr>
        <w:t>23/01/2026</w:t>
      </w:r>
      <w:r w:rsidR="00CA2D9F">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3965EF">
            <w:pPr>
              <w:spacing w:after="0" w:line="240" w:lineRule="auto"/>
              <w:ind w:firstLineChars="100" w:firstLine="200"/>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5E103ED5"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w:t>
      </w:r>
      <w:r w:rsidR="00DA379A">
        <w:rPr>
          <w:rFonts w:cstheme="minorHAnsi"/>
          <w:sz w:val="20"/>
          <w:szCs w:val="20"/>
        </w:rPr>
        <w:t>seven (</w:t>
      </w:r>
      <w:r w:rsidRPr="00C06BF2">
        <w:rPr>
          <w:rFonts w:cstheme="minorHAnsi"/>
          <w:sz w:val="20"/>
          <w:szCs w:val="20"/>
        </w:rPr>
        <w:t>7</w:t>
      </w:r>
      <w:r w:rsidR="00DA379A">
        <w:rPr>
          <w:rFonts w:cstheme="minorHAnsi"/>
          <w:sz w:val="20"/>
          <w:szCs w:val="20"/>
        </w:rPr>
        <w:t>)</w:t>
      </w:r>
      <w:r w:rsidRPr="00C06BF2">
        <w:rPr>
          <w:rFonts w:cstheme="minorHAnsi"/>
          <w:sz w:val="20"/>
          <w:szCs w:val="20"/>
        </w:rPr>
        <w:t xml:space="preserve"> days of the draw using the contact details provided in their entry. The winner’s first initials, last names</w:t>
      </w:r>
      <w:r w:rsidR="009C29A8">
        <w:rPr>
          <w:rFonts w:cstheme="minorHAnsi"/>
          <w:sz w:val="20"/>
          <w:szCs w:val="20"/>
        </w:rPr>
        <w:t xml:space="preserve">, postcodes and country (AU or NZ) </w:t>
      </w:r>
      <w:r w:rsidRPr="00C06BF2">
        <w:rPr>
          <w:rFonts w:cstheme="minorHAnsi"/>
          <w:sz w:val="20"/>
          <w:szCs w:val="20"/>
        </w:rPr>
        <w:t xml:space="preserve">will be published at </w:t>
      </w:r>
      <w:hyperlink r:id="rId9" w:history="1">
        <w:r w:rsidR="00DA379A" w:rsidRPr="00FB5046">
          <w:rPr>
            <w:rStyle w:val="Hyperlink"/>
            <w:rFonts w:eastAsia="Calibri" w:cstheme="minorHAnsi"/>
            <w:sz w:val="20"/>
            <w:szCs w:val="20"/>
          </w:rPr>
          <w:t>https://www.prizestolove.com.au/winners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DA379A">
        <w:rPr>
          <w:rFonts w:eastAsia="Calibri" w:cstheme="minorHAnsi"/>
          <w:sz w:val="20"/>
          <w:szCs w:val="20"/>
        </w:rPr>
        <w:t>30</w:t>
      </w:r>
      <w:r w:rsidR="00CA2D9F" w:rsidRPr="00CA2D9F">
        <w:rPr>
          <w:rFonts w:eastAsia="Calibri" w:cstheme="minorHAnsi"/>
          <w:sz w:val="20"/>
          <w:szCs w:val="20"/>
        </w:rPr>
        <w:t>/01/2026</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30474899"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67A955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DA379A">
        <w:rPr>
          <w:rFonts w:eastAsia="Calibri" w:cstheme="minorHAnsi"/>
          <w:sz w:val="20"/>
          <w:szCs w:val="20"/>
        </w:rPr>
        <w:t>16/04</w:t>
      </w:r>
      <w:r w:rsidR="00CA2D9F" w:rsidRPr="00CA2D9F">
        <w:rPr>
          <w:rFonts w:eastAsia="Calibri" w:cstheme="minorHAnsi"/>
          <w:sz w:val="20"/>
          <w:szCs w:val="20"/>
        </w:rPr>
        <w:t>/2026</w:t>
      </w:r>
      <w:r w:rsidRPr="00C06BF2">
        <w:rPr>
          <w:rFonts w:eastAsia="Calibri" w:cstheme="minorHAnsi"/>
          <w:sz w:val="20"/>
          <w:szCs w:val="20"/>
        </w:rPr>
        <w:t>, the prize (or that part of the prize) will be forfeited by the winner.</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26123EE8"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DA379A">
        <w:rPr>
          <w:rFonts w:cstheme="minorHAnsi"/>
          <w:sz w:val="20"/>
          <w:szCs w:val="20"/>
        </w:rPr>
        <w:t>17/04</w:t>
      </w:r>
      <w:r w:rsidR="00CA2D9F" w:rsidRPr="00CA2D9F">
        <w:rPr>
          <w:rFonts w:cstheme="minorHAnsi"/>
          <w:sz w:val="20"/>
          <w:szCs w:val="20"/>
        </w:rPr>
        <w:t>/2026</w:t>
      </w:r>
      <w:r w:rsidR="00CA2D9F">
        <w:rPr>
          <w:rFonts w:cstheme="minorHAnsi"/>
          <w:sz w:val="20"/>
          <w:szCs w:val="20"/>
        </w:rPr>
        <w:t xml:space="preserve"> </w:t>
      </w:r>
      <w:r w:rsidRPr="00C06BF2">
        <w:rPr>
          <w:rFonts w:cstheme="minorHAnsi"/>
          <w:sz w:val="20"/>
          <w:szCs w:val="20"/>
        </w:rPr>
        <w:t xml:space="preserve">at the same time and place as the original draw in order to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10"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DA379A">
        <w:rPr>
          <w:rFonts w:cstheme="minorHAnsi"/>
          <w:sz w:val="20"/>
          <w:szCs w:val="20"/>
        </w:rPr>
        <w:t>24/04</w:t>
      </w:r>
      <w:r w:rsidR="00CA2D9F" w:rsidRPr="00CA2D9F">
        <w:rPr>
          <w:rFonts w:cstheme="minorHAnsi"/>
          <w:sz w:val="20"/>
          <w:szCs w:val="20"/>
        </w:rPr>
        <w:t>/2026</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11"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in order to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12"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 xml:space="preserve">If for any reason any aspect of this Promotion is not capable of running as planned, including by reason of computer virus, communications network failure, bugs, tampering, unauthorised intervention, fraud, </w:t>
      </w:r>
      <w:r w:rsidRPr="00C06BF2">
        <w:rPr>
          <w:rFonts w:eastAsia="Calibri" w:cstheme="minorHAnsi"/>
          <w:bCs/>
          <w:sz w:val="20"/>
          <w:szCs w:val="20"/>
        </w:rPr>
        <w:lastRenderedPageBreak/>
        <w:t>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638BFAA9"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3" w:history="1">
        <w:r w:rsidR="00DA379A" w:rsidRPr="00FB5046">
          <w:rPr>
            <w:rStyle w:val="Hyperlink"/>
            <w:rFonts w:eastAsia="Calibri" w:cstheme="minorHAnsi"/>
            <w:bCs/>
            <w:sz w:val="20"/>
            <w:szCs w:val="20"/>
          </w:rPr>
          <w:t>https://www.aremedia.com.au/privacy</w:t>
        </w:r>
      </w:hyperlink>
      <w:r w:rsidRPr="00C06BF2">
        <w:rPr>
          <w:rFonts w:eastAsia="Calibri" w:cstheme="minorHAnsi"/>
          <w:bCs/>
          <w:sz w:val="20"/>
          <w:szCs w:val="20"/>
        </w:rPr>
        <w:t xml:space="preserve"> and, for New Zealand, is available at </w:t>
      </w:r>
      <w:hyperlink r:id="rId14" w:history="1">
        <w:r w:rsidR="00DA379A" w:rsidRPr="00FB5046">
          <w:rPr>
            <w:rStyle w:val="Hyperlink"/>
            <w:rFonts w:eastAsia="Calibri" w:cstheme="minorHAnsi"/>
            <w:bCs/>
            <w:sz w:val="20"/>
            <w:szCs w:val="20"/>
          </w:rPr>
          <w:t>https://www.aremedia.co.nz/privacy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bookmarkEnd w:id="7"/>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sectPr w:rsidR="00222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C3C51"/>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B5DC1"/>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0CF3"/>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29A8"/>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2D9F"/>
    <w:rsid w:val="00CA3E7B"/>
    <w:rsid w:val="00CA5F8E"/>
    <w:rsid w:val="00CB05AE"/>
    <w:rsid w:val="00CB58B3"/>
    <w:rsid w:val="00CB66DB"/>
    <w:rsid w:val="00CC25BE"/>
    <w:rsid w:val="00CC557A"/>
    <w:rsid w:val="00CC77F7"/>
    <w:rsid w:val="00CD31FF"/>
    <w:rsid w:val="00CD42D6"/>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379A"/>
    <w:rsid w:val="00DA713E"/>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3DCA"/>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wtolove.com.au/puzzles/a" TargetMode="External"/><Relationship Id="rId13" Type="http://schemas.openxmlformats.org/officeDocument/2006/relationships/hyperlink" Target="https://www.aremedia.com.au/priv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izepay.com.au/code-te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rizestolove.com.au/winne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rizestolove.com.au/winners" TargetMode="External"/><Relationship Id="rId4" Type="http://schemas.openxmlformats.org/officeDocument/2006/relationships/numbering" Target="numbering.xml"/><Relationship Id="rId9" Type="http://schemas.openxmlformats.org/officeDocument/2006/relationships/hyperlink" Target="https://www.prizestolove.com.au/winners" TargetMode="External"/><Relationship Id="rId14" Type="http://schemas.openxmlformats.org/officeDocument/2006/relationships/hyperlink" Target="https://www.aremedia.co.nz/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7CE111-08D8-4C77-B26A-32C18215E896}">
  <ds:schemaRefs>
    <ds:schemaRef ds:uri="http://schemas.microsoft.com/sharepoint/v3/contenttype/forms"/>
  </ds:schemaRefs>
</ds:datastoreItem>
</file>

<file path=customXml/itemProps2.xml><?xml version="1.0" encoding="utf-8"?>
<ds:datastoreItem xmlns:ds="http://schemas.openxmlformats.org/officeDocument/2006/customXml" ds:itemID="{BFD88C49-14B6-4167-B219-506ADCF7497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0026C240-3D16-4749-8D3D-6490CF936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2076</Words>
  <Characters>11836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Hankin, Andy</cp:lastModifiedBy>
  <cp:revision>5</cp:revision>
  <dcterms:created xsi:type="dcterms:W3CDTF">2025-07-29T06:42:00Z</dcterms:created>
  <dcterms:modified xsi:type="dcterms:W3CDTF">2025-08-17T23:05:00Z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